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72" w:firstLineChars="200"/>
        <w:jc w:val="both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bookmarkStart w:id="0" w:name="_GoBack"/>
      <w:r>
        <w:rPr>
          <w:rStyle w:val="6"/>
          <w:rFonts w:hint="eastAsia" w:ascii="微软雅黑" w:hAnsi="微软雅黑" w:eastAsia="微软雅黑" w:cs="微软雅黑"/>
          <w:i w:val="0"/>
          <w:caps w:val="0"/>
          <w:color w:val="1F497D"/>
          <w:spacing w:val="8"/>
          <w:sz w:val="27"/>
          <w:szCs w:val="27"/>
          <w:bdr w:val="none" w:color="auto" w:sz="0" w:space="0"/>
          <w:shd w:val="clear" w:fill="FFFFFF"/>
        </w:rPr>
        <w:t>附2：九民会议纪要关于“非典型担保”与“让与担保”的表述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12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12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66.【担保关系的认定】当事人订立的具有担保功能的合同，不存在法定无效情形的，应当认定有效。虽然合同约定的权利义务关系不属于物权法规定的典型担保类型，但是其担保功能应予肯定。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12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12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71.【让与担保】债务人或者第三人与债权人订立合同，约定将财产形式上转让至债权人名下，债务人到期清偿债务，债权人将该财产返还给债务人或第三人，债务人到期没有清偿债务，债权人可以对财产拍卖、变卖、折价偿还债权的，人民法院应当认定合同有效。合同如果约定债务人到期没有清偿债务，财产归债权人所有的，人民法院应当认定该部分约定无效，但不影响合同其他部分的效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12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12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当事人根据上述合同约定，已经完成财产权利变动的公示方式转让至债权人名下，债务人到期没有清偿债务，债权人请求确认财产归其所有的，人民法院不予支持，但债权人请求参照法律关于担保物权的规定对财产拍卖、变卖、折价优先偿还其债权的，人民法院依法予以支持。债务人因到期没有清偿债务，请求对该财产拍卖、变卖、折价偿还所欠债权人合同项下债务的，人民法院亦应依法予以支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12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1413C"/>
    <w:rsid w:val="5381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2020-03-19T00:26:00Z</dcterms:created>
  <dc:creator>lenovo</dc:creator>
  <cp:lastModifiedBy>lenovo</cp:lastModifiedBy>
  <dcterms:modified xsi:type="dcterms:W3CDTF">2020-03-19T00:27:28Z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