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sz w:val="32"/>
          <w:szCs w:val="32"/>
        </w:rPr>
      </w:pPr>
      <w:bookmarkStart w:id="0" w:name="_GoBack"/>
      <w:r>
        <w:rPr>
          <w:rStyle w:val="4"/>
          <w:rFonts w:hint="eastAsia" w:ascii="仿宋_GB2312" w:hAnsi="仿宋_GB2312" w:eastAsia="仿宋_GB2312" w:cs="仿宋_GB2312"/>
          <w:i w:val="0"/>
          <w:caps w:val="0"/>
          <w:color w:val="333333"/>
          <w:spacing w:val="8"/>
          <w:sz w:val="32"/>
          <w:szCs w:val="32"/>
          <w:shd w:val="clear" w:fill="FFFFFF"/>
        </w:rPr>
        <w:t> 9.未登记抵押权人以普通债权申报，视为放弃抵押权</w:t>
      </w:r>
    </w:p>
    <w:bookmarkEnd w:id="0"/>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i w:val="0"/>
          <w:caps w:val="0"/>
          <w:color w:val="333333"/>
          <w:spacing w:val="8"/>
          <w:sz w:val="32"/>
          <w:szCs w:val="32"/>
          <w:shd w:val="clear" w:fill="FFFFFF"/>
        </w:rPr>
        <w:t>——主债务人破产时，抵押权人仅以普通债权人身份申报债权，应视为放弃抵押权，保证人有权就放弃部分免除责任。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sz w:val="32"/>
          <w:szCs w:val="32"/>
        </w:rPr>
      </w:pPr>
      <w:r>
        <w:rPr>
          <w:rStyle w:val="4"/>
          <w:rFonts w:hint="eastAsia" w:ascii="仿宋_GB2312" w:hAnsi="仿宋_GB2312" w:eastAsia="仿宋_GB2312" w:cs="仿宋_GB2312"/>
          <w:i w:val="0"/>
          <w:caps w:val="0"/>
          <w:color w:val="333333"/>
          <w:spacing w:val="8"/>
          <w:sz w:val="32"/>
          <w:szCs w:val="32"/>
          <w:shd w:val="clear" w:fill="FFFFFF"/>
        </w:rPr>
        <w:t>标签：</w:t>
      </w:r>
      <w:r>
        <w:rPr>
          <w:rFonts w:hint="eastAsia" w:ascii="仿宋_GB2312" w:hAnsi="仿宋_GB2312" w:eastAsia="仿宋_GB2312" w:cs="仿宋_GB2312"/>
          <w:b w:val="0"/>
          <w:i w:val="0"/>
          <w:caps w:val="0"/>
          <w:color w:val="FF2941"/>
          <w:spacing w:val="8"/>
          <w:sz w:val="32"/>
          <w:szCs w:val="32"/>
          <w:shd w:val="clear" w:fill="FFFFFF"/>
        </w:rPr>
        <w:t>｜保证</w:t>
      </w:r>
      <w:r>
        <w:rPr>
          <w:rFonts w:hint="eastAsia" w:ascii="仿宋_GB2312" w:hAnsi="仿宋_GB2312" w:eastAsia="仿宋_GB2312" w:cs="仿宋_GB2312"/>
          <w:b w:val="0"/>
          <w:i w:val="0"/>
          <w:caps w:val="0"/>
          <w:color w:val="0052FF"/>
          <w:spacing w:val="8"/>
          <w:sz w:val="32"/>
          <w:szCs w:val="32"/>
          <w:shd w:val="clear" w:fill="FFFFFF"/>
        </w:rPr>
        <w:t>｜物保与人保</w:t>
      </w:r>
      <w:r>
        <w:rPr>
          <w:rFonts w:hint="eastAsia" w:ascii="仿宋_GB2312" w:hAnsi="仿宋_GB2312" w:eastAsia="仿宋_GB2312" w:cs="仿宋_GB2312"/>
          <w:b w:val="0"/>
          <w:i w:val="0"/>
          <w:caps w:val="0"/>
          <w:color w:val="FF2941"/>
          <w:spacing w:val="8"/>
          <w:sz w:val="32"/>
          <w:szCs w:val="32"/>
          <w:shd w:val="clear" w:fill="FFFFFF"/>
        </w:rPr>
        <w:t>｜抵押</w:t>
      </w:r>
      <w:r>
        <w:rPr>
          <w:rFonts w:hint="eastAsia" w:ascii="仿宋_GB2312" w:hAnsi="仿宋_GB2312" w:eastAsia="仿宋_GB2312" w:cs="仿宋_GB2312"/>
          <w:b w:val="0"/>
          <w:i w:val="0"/>
          <w:caps w:val="0"/>
          <w:color w:val="0052FF"/>
          <w:spacing w:val="8"/>
          <w:sz w:val="32"/>
          <w:szCs w:val="32"/>
          <w:shd w:val="clear" w:fill="FFFFFF"/>
        </w:rPr>
        <w:t>｜放弃抵押</w:t>
      </w:r>
      <w:r>
        <w:rPr>
          <w:rFonts w:hint="eastAsia" w:ascii="仿宋_GB2312" w:hAnsi="仿宋_GB2312" w:eastAsia="仿宋_GB2312" w:cs="仿宋_GB2312"/>
          <w:b w:val="0"/>
          <w:i w:val="0"/>
          <w:caps w:val="0"/>
          <w:color w:val="FF2941"/>
          <w:spacing w:val="8"/>
          <w:sz w:val="32"/>
          <w:szCs w:val="32"/>
          <w:shd w:val="clear" w:fill="FFFFFF"/>
        </w:rPr>
        <w:t>｜破产</w:t>
      </w:r>
      <w:r>
        <w:rPr>
          <w:rFonts w:hint="eastAsia" w:ascii="仿宋_GB2312" w:hAnsi="仿宋_GB2312" w:eastAsia="仿宋_GB2312" w:cs="仿宋_GB2312"/>
          <w:b w:val="0"/>
          <w:i w:val="0"/>
          <w:caps w:val="0"/>
          <w:color w:val="0052FF"/>
          <w:spacing w:val="8"/>
          <w:sz w:val="32"/>
          <w:szCs w:val="32"/>
          <w:shd w:val="clear" w:fill="FFFFFF"/>
        </w:rPr>
        <w:t>｜优先受偿权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sz w:val="32"/>
          <w:szCs w:val="32"/>
        </w:rPr>
      </w:pPr>
      <w:r>
        <w:rPr>
          <w:rStyle w:val="4"/>
          <w:rFonts w:hint="eastAsia" w:ascii="仿宋_GB2312" w:hAnsi="仿宋_GB2312" w:eastAsia="仿宋_GB2312" w:cs="仿宋_GB2312"/>
          <w:i w:val="0"/>
          <w:caps w:val="0"/>
          <w:color w:val="333333"/>
          <w:spacing w:val="8"/>
          <w:sz w:val="32"/>
          <w:szCs w:val="32"/>
          <w:shd w:val="clear" w:fill="FFFFFF"/>
        </w:rPr>
        <w:t>案情简介：</w:t>
      </w:r>
      <w:r>
        <w:rPr>
          <w:rFonts w:hint="eastAsia" w:ascii="仿宋_GB2312" w:hAnsi="仿宋_GB2312" w:eastAsia="仿宋_GB2312" w:cs="仿宋_GB2312"/>
          <w:b w:val="0"/>
          <w:i w:val="0"/>
          <w:caps w:val="0"/>
          <w:color w:val="333333"/>
          <w:spacing w:val="8"/>
          <w:sz w:val="32"/>
          <w:szCs w:val="32"/>
          <w:shd w:val="clear" w:fill="FFFFFF"/>
        </w:rPr>
        <w:t>1990年，氮肥厂向银行贷款495万美元，借款合同约定“氮肥厂必须以其原有固定资产和项目形成的固定资产全部抵押给银行，在贷款未还清前，银行有留置权”。同时卷烟厂提供连带责任保证。2006年，氮肥厂被列入国务院拟破产企业时，该厂资产总额为8亿余元。</w:t>
      </w:r>
      <w:r>
        <w:rPr>
          <w:rStyle w:val="4"/>
          <w:rFonts w:hint="eastAsia" w:ascii="仿宋_GB2312" w:hAnsi="仿宋_GB2312" w:eastAsia="仿宋_GB2312" w:cs="仿宋_GB2312"/>
          <w:i w:val="0"/>
          <w:caps w:val="0"/>
          <w:color w:val="333333"/>
          <w:spacing w:val="8"/>
          <w:sz w:val="32"/>
          <w:szCs w:val="32"/>
          <w:shd w:val="clear" w:fill="FFFFFF"/>
        </w:rPr>
        <w:t>进入破产程序后，银行以普通债权人身份申报债权</w:t>
      </w:r>
      <w:r>
        <w:rPr>
          <w:rFonts w:hint="eastAsia" w:ascii="仿宋_GB2312" w:hAnsi="仿宋_GB2312" w:eastAsia="仿宋_GB2312" w:cs="仿宋_GB2312"/>
          <w:b w:val="0"/>
          <w:i w:val="0"/>
          <w:caps w:val="0"/>
          <w:color w:val="333333"/>
          <w:spacing w:val="8"/>
          <w:sz w:val="32"/>
          <w:szCs w:val="32"/>
          <w:shd w:val="clear" w:fill="FFFFFF"/>
        </w:rPr>
        <w:t>，最终确认未受偿债权为4400万余元。2006年12月，受让银行该不良债权的资产公司诉请卷烟厂承担保证责任。卷烟厂以银行放弃抵押权为由主张免除担保责任。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sz w:val="32"/>
          <w:szCs w:val="32"/>
        </w:rPr>
      </w:pPr>
      <w:r>
        <w:rPr>
          <w:rStyle w:val="4"/>
          <w:rFonts w:hint="eastAsia" w:ascii="仿宋_GB2312" w:hAnsi="仿宋_GB2312" w:eastAsia="仿宋_GB2312" w:cs="仿宋_GB2312"/>
          <w:i w:val="0"/>
          <w:caps w:val="0"/>
          <w:color w:val="333333"/>
          <w:spacing w:val="8"/>
          <w:sz w:val="32"/>
          <w:szCs w:val="32"/>
          <w:shd w:val="clear" w:fill="FFFFFF"/>
        </w:rPr>
        <w:t>法院认为：</w:t>
      </w:r>
      <w:r>
        <w:rPr>
          <w:rFonts w:hint="eastAsia" w:ascii="仿宋_GB2312" w:hAnsi="仿宋_GB2312" w:eastAsia="仿宋_GB2312" w:cs="仿宋_GB2312"/>
          <w:b w:val="0"/>
          <w:i w:val="0"/>
          <w:caps w:val="0"/>
          <w:color w:val="333333"/>
          <w:spacing w:val="8"/>
          <w:sz w:val="32"/>
          <w:szCs w:val="32"/>
          <w:shd w:val="clear" w:fill="FFFFFF"/>
        </w:rPr>
        <w:t>①银行与氮肥厂在1990年</w:t>
      </w:r>
      <w:r>
        <w:rPr>
          <w:rStyle w:val="4"/>
          <w:rFonts w:hint="eastAsia" w:ascii="仿宋_GB2312" w:hAnsi="仿宋_GB2312" w:eastAsia="仿宋_GB2312" w:cs="仿宋_GB2312"/>
          <w:i w:val="0"/>
          <w:caps w:val="0"/>
          <w:color w:val="333333"/>
          <w:spacing w:val="8"/>
          <w:sz w:val="32"/>
          <w:szCs w:val="32"/>
          <w:shd w:val="clear" w:fill="FFFFFF"/>
        </w:rPr>
        <w:t>借款合同中明确约定将氮肥厂原有固定资产和项目形成的固定资产全部抵押给银行</w:t>
      </w:r>
      <w:r>
        <w:rPr>
          <w:rFonts w:hint="eastAsia" w:ascii="仿宋_GB2312" w:hAnsi="仿宋_GB2312" w:eastAsia="仿宋_GB2312" w:cs="仿宋_GB2312"/>
          <w:b w:val="0"/>
          <w:i w:val="0"/>
          <w:caps w:val="0"/>
          <w:color w:val="333333"/>
          <w:spacing w:val="8"/>
          <w:sz w:val="32"/>
          <w:szCs w:val="32"/>
          <w:shd w:val="clear" w:fill="FFFFFF"/>
        </w:rPr>
        <w:t>，依最高人民法院《关于贯彻执行〈民法通则〉若干问题的意见（施行）》第112条关于“债务人或者第三人向债权人提供抵押物时，应当订立书面合同或者在原债权文书中写明。没有书面合同，但有其他证据证明抵押物或者其权利证书已交给抵押权人的，可以认定抵押关系成立”规定，应认定银行与氮肥厂抵押关系依法成立。②氮肥厂2006年被国务院列入拟破产企业时，资产公司向氮肥厂破产管理人</w:t>
      </w:r>
      <w:r>
        <w:rPr>
          <w:rStyle w:val="4"/>
          <w:rFonts w:hint="eastAsia" w:ascii="仿宋_GB2312" w:hAnsi="仿宋_GB2312" w:eastAsia="仿宋_GB2312" w:cs="仿宋_GB2312"/>
          <w:i w:val="0"/>
          <w:caps w:val="0"/>
          <w:color w:val="333333"/>
          <w:spacing w:val="8"/>
          <w:sz w:val="32"/>
          <w:szCs w:val="32"/>
          <w:shd w:val="clear" w:fill="FFFFFF"/>
        </w:rPr>
        <w:t>申报债权时是作为普通债权申报的，并未提及抵押权</w:t>
      </w:r>
      <w:r>
        <w:rPr>
          <w:rFonts w:hint="eastAsia" w:ascii="仿宋_GB2312" w:hAnsi="仿宋_GB2312" w:eastAsia="仿宋_GB2312" w:cs="仿宋_GB2312"/>
          <w:b w:val="0"/>
          <w:i w:val="0"/>
          <w:caps w:val="0"/>
          <w:color w:val="333333"/>
          <w:spacing w:val="8"/>
          <w:sz w:val="32"/>
          <w:szCs w:val="32"/>
          <w:shd w:val="clear" w:fill="FFFFFF"/>
        </w:rPr>
        <w:t>。经第一次债权人会议，管理人编制了拟确认债权表，资产公司亦未提出异议，由此应认定资产公司放弃了物权担保。依最高人民法院《关于审理经济合同纠纷案件有关保证的若干问题的规定》第15条关于“债权人放弃抵押权的，保证人就放弃抵押权的部分不再承担保证责任”规定，因资产公司放弃了物权担保，且氮肥厂抵押财产价值大于本案所涉借款本息，故卷烟厂保证责任应予免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sz w:val="32"/>
          <w:szCs w:val="32"/>
        </w:rPr>
      </w:pPr>
      <w:r>
        <w:rPr>
          <w:rStyle w:val="4"/>
          <w:rFonts w:hint="eastAsia" w:ascii="仿宋_GB2312" w:hAnsi="仿宋_GB2312" w:eastAsia="仿宋_GB2312" w:cs="仿宋_GB2312"/>
          <w:i w:val="0"/>
          <w:caps w:val="0"/>
          <w:color w:val="333333"/>
          <w:spacing w:val="8"/>
          <w:sz w:val="32"/>
          <w:szCs w:val="32"/>
          <w:shd w:val="clear" w:fill="FFFFFF"/>
        </w:rPr>
        <w:t>实务要点：</w:t>
      </w:r>
      <w:r>
        <w:rPr>
          <w:rFonts w:hint="eastAsia" w:ascii="仿宋_GB2312" w:hAnsi="仿宋_GB2312" w:eastAsia="仿宋_GB2312" w:cs="仿宋_GB2312"/>
          <w:b w:val="0"/>
          <w:i w:val="0"/>
          <w:caps w:val="0"/>
          <w:color w:val="333333"/>
          <w:spacing w:val="8"/>
          <w:sz w:val="32"/>
          <w:szCs w:val="32"/>
          <w:shd w:val="clear" w:fill="FFFFFF"/>
        </w:rPr>
        <w:t>借款合同明确约定抵押条款的，在主债务人破产时，债权人仅以普通债权人身份申报债权，而未主张担保物权，应视为放弃抵押权，保证人有权就放弃抵押权部分不再承担保证责任。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sz w:val="32"/>
          <w:szCs w:val="32"/>
        </w:rPr>
      </w:pPr>
      <w:r>
        <w:rPr>
          <w:rStyle w:val="4"/>
          <w:rFonts w:hint="eastAsia" w:ascii="仿宋_GB2312" w:hAnsi="仿宋_GB2312" w:eastAsia="仿宋_GB2312" w:cs="仿宋_GB2312"/>
          <w:i w:val="0"/>
          <w:caps w:val="0"/>
          <w:color w:val="333333"/>
          <w:spacing w:val="8"/>
          <w:sz w:val="32"/>
          <w:szCs w:val="32"/>
          <w:shd w:val="clear" w:fill="FFFFFF"/>
        </w:rPr>
        <w:t>案例索引：</w:t>
      </w:r>
      <w:r>
        <w:rPr>
          <w:rFonts w:hint="eastAsia" w:ascii="仿宋_GB2312" w:hAnsi="仿宋_GB2312" w:eastAsia="仿宋_GB2312" w:cs="仿宋_GB2312"/>
          <w:b w:val="0"/>
          <w:i w:val="0"/>
          <w:caps w:val="0"/>
          <w:color w:val="333333"/>
          <w:spacing w:val="8"/>
          <w:sz w:val="32"/>
          <w:szCs w:val="32"/>
          <w:shd w:val="clear" w:fill="FFFFFF"/>
        </w:rPr>
        <w:t>最高人民法院（2009）民二终字第34号“某资产公司与某卷烟厂等借款担保合同纠纷案”，见《中国东方资产管理公司西安办事处与宝鸡卷烟厂、陕西省宝鸡氮肥厂破产管理人借款担保合同纠纷案》（审判长贾纬，代理审判员沙玲、周伦军），载《最高人民法院商事审判裁判规范与案例指导·裁判文书》（2011:351）；另见《主合同中约定的借款数额少于〈不可撤销担保书〉中承诺的数额，这种变化即使未经保证人同意，也不能够成为保证人免责的条件》，载《最高人民法院商事审判指导案例·借款担保卷（下）》（V2-2011:673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b w:val="0"/>
          <w:i w:val="0"/>
          <w:caps w:val="0"/>
          <w:color w:val="333333"/>
          <w:spacing w:val="8"/>
          <w:sz w:val="24"/>
          <w:szCs w:val="24"/>
          <w:shd w:val="clear" w:fill="FFFFFF"/>
        </w:rPr>
        <w:t>  </w:t>
      </w:r>
    </w:p>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b w:val="0"/>
          <w:i w:val="0"/>
          <w:caps w:val="0"/>
          <w:color w:val="333333"/>
          <w:spacing w:val="8"/>
          <w:sz w:val="25"/>
          <w:szCs w:val="25"/>
        </w:rPr>
      </w:pPr>
      <w:r>
        <w:rPr>
          <w:rFonts w:hint="eastAsia" w:ascii="微软雅黑" w:hAnsi="微软雅黑" w:eastAsia="微软雅黑" w:cs="微软雅黑"/>
          <w:b w:val="0"/>
          <w:i w:val="0"/>
          <w:caps w:val="0"/>
          <w:color w:val="333333"/>
          <w:spacing w:val="8"/>
          <w:sz w:val="24"/>
          <w:szCs w:val="24"/>
          <w:shd w:val="clear" w:fill="FFFFFF"/>
        </w:rPr>
        <w:t>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E812C1"/>
    <w:rsid w:val="28E812C1"/>
    <w:rsid w:val="40886F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2020-04-09T08:59:00Z</dcterms:created>
  <dc:creator>lenovo</dc:creator>
  <cp:lastModifiedBy>lenovo</cp:lastModifiedBy>
  <dcterms:modified xsi:type="dcterms:W3CDTF">2020-04-09T09:00:49Z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